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BF5" w:rsidRDefault="00615BF5" w:rsidP="003A1001">
      <w:pPr>
        <w:pStyle w:val="Ingenmellomrom"/>
        <w:rPr>
          <w:b/>
        </w:rPr>
      </w:pPr>
      <w:bookmarkStart w:id="0" w:name="_GoBack"/>
      <w:bookmarkEnd w:id="0"/>
    </w:p>
    <w:p w:rsidR="001742C2" w:rsidRPr="00EC70D7" w:rsidRDefault="003A1001" w:rsidP="003A1001">
      <w:pPr>
        <w:pStyle w:val="Ingenmellomrom"/>
        <w:rPr>
          <w:b/>
          <w:color w:val="1F4E79" w:themeColor="accent1" w:themeShade="80"/>
          <w:sz w:val="32"/>
          <w:szCs w:val="32"/>
        </w:rPr>
      </w:pPr>
      <w:r w:rsidRPr="00EC70D7">
        <w:rPr>
          <w:b/>
          <w:color w:val="1F4E79" w:themeColor="accent1" w:themeShade="80"/>
          <w:sz w:val="32"/>
          <w:szCs w:val="32"/>
        </w:rPr>
        <w:t>Mal for svadagenerator</w:t>
      </w:r>
    </w:p>
    <w:p w:rsidR="001C43BF" w:rsidRDefault="001C43BF" w:rsidP="003A1001">
      <w:pPr>
        <w:pStyle w:val="Ingenmellomrom"/>
      </w:pPr>
    </w:p>
    <w:p w:rsidR="003A1001" w:rsidRDefault="001C43BF" w:rsidP="003A1001">
      <w:pPr>
        <w:pStyle w:val="Ingenmellomrom"/>
      </w:pPr>
      <w:r>
        <w:t xml:space="preserve">Du lager en skreddersydd svadagenerator ved å fylle ut skjemaet </w:t>
      </w:r>
      <w:r w:rsidR="009332F8">
        <w:t>på neste side.</w:t>
      </w:r>
      <w:r>
        <w:t xml:space="preserve"> </w:t>
      </w:r>
      <w:r w:rsidR="003A1001">
        <w:t xml:space="preserve">Skjemaet har </w:t>
      </w:r>
      <w:r w:rsidR="00B6450D">
        <w:t>7 kolonner og maksimum 20 rader</w:t>
      </w:r>
      <w:r w:rsidR="003D3527">
        <w:t>.</w:t>
      </w:r>
      <w:r w:rsidR="009332F8">
        <w:t xml:space="preserve"> Les beskrivelsen under skjemaet.</w:t>
      </w:r>
    </w:p>
    <w:p w:rsidR="009332F8" w:rsidRDefault="009332F8" w:rsidP="003A1001">
      <w:pPr>
        <w:pStyle w:val="Ingenmellomrom"/>
      </w:pPr>
    </w:p>
    <w:p w:rsidR="009332F8" w:rsidRPr="009332F8" w:rsidRDefault="009332F8" w:rsidP="009332F8">
      <w:pPr>
        <w:pStyle w:val="Ingenmellomrom"/>
        <w:rPr>
          <w:b/>
        </w:rPr>
      </w:pPr>
      <w:r>
        <w:rPr>
          <w:b/>
        </w:rPr>
        <w:t>Noen gode råd</w:t>
      </w:r>
    </w:p>
    <w:p w:rsidR="009332F8" w:rsidRPr="009332F8" w:rsidRDefault="009332F8" w:rsidP="009332F8">
      <w:pPr>
        <w:pStyle w:val="Ingenmellomrom"/>
        <w:rPr>
          <w:b/>
        </w:rPr>
      </w:pPr>
    </w:p>
    <w:p w:rsidR="00601DB2" w:rsidRPr="00601DB2" w:rsidRDefault="009332F8" w:rsidP="00601DB2">
      <w:pPr>
        <w:pStyle w:val="Ingenmellomrom"/>
      </w:pPr>
      <w:r w:rsidRPr="009332F8">
        <w:t xml:space="preserve">Skreddersydde generatorer må ha særpreg. Pass på at ordene du setter inn, ikke er for generelle. </w:t>
      </w:r>
      <w:r w:rsidR="00601DB2" w:rsidRPr="00601DB2">
        <w:t xml:space="preserve">Husk at du kan slette en rad eller to hvis du går tom for ord. </w:t>
      </w:r>
    </w:p>
    <w:p w:rsidR="009332F8" w:rsidRPr="009332F8" w:rsidRDefault="009332F8" w:rsidP="009332F8">
      <w:pPr>
        <w:pStyle w:val="Ingenmellomrom"/>
      </w:pPr>
    </w:p>
    <w:p w:rsidR="009332F8" w:rsidRPr="009332F8" w:rsidRDefault="009332F8" w:rsidP="009332F8">
      <w:pPr>
        <w:pStyle w:val="Ingenmellomrom"/>
      </w:pPr>
      <w:r w:rsidRPr="009332F8">
        <w:t>Unngå samme ord, litt for like ord eller sammensetninger med samme ord i flere kolonner (C, E og G). Hvis samme ord eller ordsammensetning (f.eks. «prosess», «prosessorientering», «arbeidsprosess») havner i den samme setningen, blir det lite variasjon og mindre moro.</w:t>
      </w:r>
    </w:p>
    <w:p w:rsidR="009332F8" w:rsidRPr="009332F8" w:rsidRDefault="009332F8" w:rsidP="009332F8">
      <w:pPr>
        <w:pStyle w:val="Ingenmellomrom"/>
      </w:pPr>
    </w:p>
    <w:p w:rsidR="009332F8" w:rsidRPr="009332F8" w:rsidRDefault="009332F8" w:rsidP="009332F8">
      <w:pPr>
        <w:pStyle w:val="Ingenmellomrom"/>
      </w:pPr>
      <w:r w:rsidRPr="009332F8">
        <w:t xml:space="preserve">Det kan være en god idé å la de fleste ordene i f.eks. kolonne C være bransjespesifikke sammensetninger, slik at man straks skjønner hvilket fagområde man befinner seg på. (Bare husk å unngå disse sammensetningene i kolonne B, E og G.)  Ta en titt på </w:t>
      </w:r>
      <w:hyperlink r:id="rId7" w:history="1">
        <w:r w:rsidRPr="009332F8">
          <w:rPr>
            <w:rStyle w:val="Hyperkobling"/>
          </w:rPr>
          <w:t>klimasvadageneratoren</w:t>
        </w:r>
      </w:hyperlink>
      <w:r w:rsidRPr="009332F8">
        <w:t xml:space="preserve"> for å se hvordan det kan gjøres. Her er alle ordene i kolonne C (3) sammensetninger med nettopp </w:t>
      </w:r>
      <w:r w:rsidRPr="009332F8">
        <w:rPr>
          <w:i/>
        </w:rPr>
        <w:t>klima</w:t>
      </w:r>
      <w:r w:rsidRPr="009332F8">
        <w:t xml:space="preserve">-, og det fungerer fint, for så lenge ordene er i samme kolonne, vil de bare dukke opp én gang i den ferdige setningen. </w:t>
      </w:r>
    </w:p>
    <w:p w:rsidR="009332F8" w:rsidRPr="009332F8" w:rsidRDefault="009332F8" w:rsidP="009332F8">
      <w:pPr>
        <w:pStyle w:val="Ingenmellomrom"/>
      </w:pPr>
    </w:p>
    <w:p w:rsidR="009332F8" w:rsidRPr="009332F8" w:rsidRDefault="009332F8" w:rsidP="009332F8">
      <w:pPr>
        <w:pStyle w:val="Ingenmellomrom"/>
      </w:pPr>
      <w:r w:rsidRPr="009332F8">
        <w:t>Det er lurt å legge arbeid i å samkjøre innholdet i kolonnene, spesielt C og E. Sett av god tid til å teste ulike kombinasjoner for å se om de fungerer.</w:t>
      </w:r>
    </w:p>
    <w:p w:rsidR="009332F8" w:rsidRDefault="009332F8">
      <w:r>
        <w:br w:type="page"/>
      </w:r>
    </w:p>
    <w:p w:rsidR="009332F8" w:rsidRDefault="009332F8" w:rsidP="009332F8">
      <w:pPr>
        <w:pStyle w:val="Ingenmellomrom"/>
        <w:rPr>
          <w:b/>
        </w:rPr>
      </w:pPr>
      <w:r w:rsidRPr="009332F8">
        <w:rPr>
          <w:b/>
        </w:rPr>
        <w:lastRenderedPageBreak/>
        <w:t>Mal for svadagenerator</w:t>
      </w:r>
    </w:p>
    <w:p w:rsidR="009332F8" w:rsidRDefault="009332F8" w:rsidP="009332F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8"/>
        <w:gridCol w:w="2514"/>
        <w:gridCol w:w="1701"/>
        <w:gridCol w:w="1418"/>
        <w:gridCol w:w="1134"/>
        <w:gridCol w:w="1559"/>
        <w:gridCol w:w="1984"/>
        <w:gridCol w:w="2552"/>
      </w:tblGrid>
      <w:tr w:rsidR="003D3527" w:rsidRPr="003D3527" w:rsidTr="003D3527">
        <w:tc>
          <w:tcPr>
            <w:tcW w:w="458" w:type="dxa"/>
          </w:tcPr>
          <w:p w:rsidR="00DD771F" w:rsidRPr="003D3527" w:rsidRDefault="00DD771F" w:rsidP="00B6450D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14" w:type="dxa"/>
          </w:tcPr>
          <w:p w:rsidR="00DD771F" w:rsidRPr="003D3527" w:rsidRDefault="00DD771F" w:rsidP="00B6450D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3D3527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3D3527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3D3527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3D3527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3D3527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1984" w:type="dxa"/>
          </w:tcPr>
          <w:p w:rsidR="00DD771F" w:rsidRPr="003D3527" w:rsidRDefault="00DD771F" w:rsidP="00B6450D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3D3527">
              <w:rPr>
                <w:b/>
                <w:sz w:val="20"/>
                <w:szCs w:val="20"/>
              </w:rPr>
              <w:t>F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jc w:val="center"/>
              <w:rPr>
                <w:b/>
                <w:sz w:val="20"/>
                <w:szCs w:val="20"/>
              </w:rPr>
            </w:pPr>
            <w:r w:rsidRPr="003D3527">
              <w:rPr>
                <w:b/>
                <w:sz w:val="20"/>
                <w:szCs w:val="20"/>
              </w:rPr>
              <w:t>G</w:t>
            </w: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Gitt</w:t>
            </w:r>
          </w:p>
        </w:tc>
        <w:tc>
          <w:tcPr>
            <w:tcW w:w="1701" w:type="dxa"/>
          </w:tcPr>
          <w:p w:rsidR="00DD771F" w:rsidRPr="003D3527" w:rsidRDefault="00DD771F" w:rsidP="001C43BF">
            <w:pPr>
              <w:pStyle w:val="Ingenmellomrom"/>
              <w:rPr>
                <w:color w:val="A6A6A6" w:themeColor="background1" w:themeShade="A6"/>
                <w:sz w:val="20"/>
                <w:szCs w:val="20"/>
              </w:rPr>
            </w:pPr>
            <w:r w:rsidRPr="003D3527">
              <w:rPr>
                <w:color w:val="A6A6A6" w:themeColor="background1" w:themeShade="A6"/>
                <w:sz w:val="20"/>
                <w:szCs w:val="20"/>
              </w:rPr>
              <w:t>en strategisk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color w:val="A6A6A6" w:themeColor="background1" w:themeShade="A6"/>
                <w:sz w:val="20"/>
                <w:szCs w:val="20"/>
              </w:rPr>
            </w:pPr>
            <w:r w:rsidRPr="003D3527">
              <w:rPr>
                <w:color w:val="A6A6A6" w:themeColor="background1" w:themeShade="A6"/>
                <w:sz w:val="20"/>
                <w:szCs w:val="20"/>
              </w:rPr>
              <w:t>tidshorisont</w:t>
            </w: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color w:val="A6A6A6" w:themeColor="background1" w:themeShade="A6"/>
                <w:sz w:val="20"/>
                <w:szCs w:val="20"/>
              </w:rPr>
            </w:pPr>
            <w:r w:rsidRPr="003D3527">
              <w:rPr>
                <w:color w:val="A6A6A6" w:themeColor="background1" w:themeShade="A6"/>
                <w:sz w:val="20"/>
                <w:szCs w:val="20"/>
              </w:rPr>
              <w:t>forankres</w:t>
            </w: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color w:val="A6A6A6" w:themeColor="background1" w:themeShade="A6"/>
                <w:sz w:val="20"/>
                <w:szCs w:val="20"/>
              </w:rPr>
            </w:pPr>
            <w:r w:rsidRPr="003D3527">
              <w:rPr>
                <w:color w:val="A6A6A6" w:themeColor="background1" w:themeShade="A6"/>
                <w:sz w:val="20"/>
                <w:szCs w:val="20"/>
              </w:rPr>
              <w:t>potensialet</w:t>
            </w: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innenfor rammen av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color w:val="A6A6A6" w:themeColor="background1" w:themeShade="A6"/>
                <w:sz w:val="20"/>
                <w:szCs w:val="20"/>
              </w:rPr>
              <w:t>handlingsrommet</w:t>
            </w: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2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Under hensyntagen til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som en følge av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3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 lys av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for så vidt gjelder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4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Grunnet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 forhold til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5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 betraktning av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hva angår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6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Forutsatt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parallelt med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7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Med utgangspunkt i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på tvers av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8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 forhold til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 tilknytning til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9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Sett hen til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på bakgrunn av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10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 henhold til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avhengig av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11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Uavhengig av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med henblikk på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12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Sett på bakgrunn av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8728D3" w:rsidP="00DD771F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>
              <w:rPr>
                <w:rFonts w:eastAsia="Times New Roman" w:cs="Times New Roman"/>
                <w:sz w:val="20"/>
                <w:szCs w:val="20"/>
                <w:lang w:eastAsia="nb-NO"/>
              </w:rPr>
              <w:t>utenom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Sammenholdt med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 motsetning til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14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På grunn av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innenfor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15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Med hensyn til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hva gjelder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Under forutsetning av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gjennom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17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Etter en totalvurdering av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ut fra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18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Uten hensyn til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med sikte på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19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På grunnlag av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på linje med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  <w:tr w:rsidR="003D3527" w:rsidTr="003D3527">
        <w:tc>
          <w:tcPr>
            <w:tcW w:w="458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20</w:t>
            </w:r>
          </w:p>
        </w:tc>
        <w:tc>
          <w:tcPr>
            <w:tcW w:w="251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Under henvisning til</w:t>
            </w:r>
          </w:p>
        </w:tc>
        <w:tc>
          <w:tcPr>
            <w:tcW w:w="1701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  <w:r w:rsidRPr="003D3527">
              <w:rPr>
                <w:sz w:val="20"/>
                <w:szCs w:val="20"/>
              </w:rPr>
              <w:t>en</w:t>
            </w:r>
          </w:p>
        </w:tc>
        <w:tc>
          <w:tcPr>
            <w:tcW w:w="1418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DD771F" w:rsidRPr="003D3527" w:rsidRDefault="00DD771F" w:rsidP="00B6450D">
            <w:pPr>
              <w:rPr>
                <w:rFonts w:eastAsia="Times New Roman" w:cs="Times New Roman"/>
                <w:sz w:val="20"/>
                <w:szCs w:val="20"/>
                <w:lang w:eastAsia="nb-NO"/>
              </w:rPr>
            </w:pPr>
            <w:r w:rsidRPr="003D3527">
              <w:rPr>
                <w:rFonts w:eastAsia="Times New Roman" w:cs="Times New Roman"/>
                <w:sz w:val="20"/>
                <w:szCs w:val="20"/>
                <w:lang w:eastAsia="nb-NO"/>
              </w:rPr>
              <w:t>i forlengelsen av</w:t>
            </w:r>
          </w:p>
        </w:tc>
        <w:tc>
          <w:tcPr>
            <w:tcW w:w="2552" w:type="dxa"/>
          </w:tcPr>
          <w:p w:rsidR="00DD771F" w:rsidRPr="003D3527" w:rsidRDefault="00DD771F" w:rsidP="00B6450D">
            <w:pPr>
              <w:pStyle w:val="Ingenmellomrom"/>
              <w:rPr>
                <w:sz w:val="20"/>
                <w:szCs w:val="20"/>
              </w:rPr>
            </w:pPr>
          </w:p>
        </w:tc>
      </w:tr>
    </w:tbl>
    <w:p w:rsidR="00B6450D" w:rsidRDefault="00B6450D" w:rsidP="003A1001">
      <w:pPr>
        <w:pStyle w:val="Ingenmellomrom"/>
      </w:pPr>
    </w:p>
    <w:p w:rsidR="00DD771F" w:rsidRDefault="00DD771F" w:rsidP="003A1001">
      <w:pPr>
        <w:pStyle w:val="Ingenmellomrom"/>
      </w:pPr>
    </w:p>
    <w:p w:rsidR="00713179" w:rsidRDefault="00713179" w:rsidP="003A1001">
      <w:pPr>
        <w:pStyle w:val="Ingenmellomrom"/>
        <w:rPr>
          <w:b/>
        </w:rPr>
      </w:pPr>
      <w:r>
        <w:rPr>
          <w:b/>
        </w:rPr>
        <w:t>Utfylling</w:t>
      </w:r>
    </w:p>
    <w:p w:rsidR="00713179" w:rsidRDefault="00713179" w:rsidP="003A1001">
      <w:pPr>
        <w:pStyle w:val="Ingenmellomrom"/>
        <w:rPr>
          <w:b/>
        </w:rPr>
      </w:pPr>
    </w:p>
    <w:p w:rsidR="003A1001" w:rsidRDefault="003A1001" w:rsidP="003A1001">
      <w:pPr>
        <w:pStyle w:val="Ingenmellomrom"/>
      </w:pPr>
      <w:r w:rsidRPr="00876B9E">
        <w:rPr>
          <w:b/>
        </w:rPr>
        <w:t>Kolonne A og F</w:t>
      </w:r>
      <w:r>
        <w:t xml:space="preserve"> (</w:t>
      </w:r>
      <w:r w:rsidR="008A366A">
        <w:t xml:space="preserve">uttrykk med bl.a. </w:t>
      </w:r>
      <w:r>
        <w:t>preposisjon</w:t>
      </w:r>
      <w:r w:rsidR="008A366A">
        <w:t>er</w:t>
      </w:r>
      <w:r>
        <w:t>) ligger fast, som standard.</w:t>
      </w:r>
    </w:p>
    <w:p w:rsidR="00FB107A" w:rsidRDefault="00FB107A" w:rsidP="003A1001">
      <w:pPr>
        <w:pStyle w:val="Ingenmellomrom"/>
      </w:pPr>
    </w:p>
    <w:p w:rsidR="001C43BF" w:rsidRDefault="001C43BF" w:rsidP="003A1001">
      <w:pPr>
        <w:pStyle w:val="Ingenmellomrom"/>
      </w:pPr>
      <w:r w:rsidRPr="00615BF5">
        <w:rPr>
          <w:b/>
        </w:rPr>
        <w:t>Kolonne B til G</w:t>
      </w:r>
      <w:r>
        <w:t xml:space="preserve"> fyller du selv. </w:t>
      </w:r>
      <w:r w:rsidR="002336A6">
        <w:t>Jo</w:t>
      </w:r>
      <w:r>
        <w:t xml:space="preserve"> flere ord og uttrykk du henter fra eget fagfelt, jo </w:t>
      </w:r>
      <w:r w:rsidR="002336A6">
        <w:t>nyttigere blir</w:t>
      </w:r>
      <w:r>
        <w:t xml:space="preserve"> svadageneratoren</w:t>
      </w:r>
      <w:r w:rsidR="002336A6">
        <w:t>!</w:t>
      </w:r>
      <w:r>
        <w:t xml:space="preserve"> Slik gjør du:</w:t>
      </w:r>
    </w:p>
    <w:p w:rsidR="001C43BF" w:rsidRDefault="001C43BF" w:rsidP="003A1001">
      <w:pPr>
        <w:pStyle w:val="Ingenmellomrom"/>
      </w:pPr>
    </w:p>
    <w:p w:rsidR="00E974ED" w:rsidRDefault="003A1001" w:rsidP="00D91783">
      <w:pPr>
        <w:pStyle w:val="Ingenmellomrom"/>
      </w:pPr>
      <w:r w:rsidRPr="00876B9E">
        <w:rPr>
          <w:b/>
        </w:rPr>
        <w:t>Kolonne B:</w:t>
      </w:r>
      <w:r>
        <w:t xml:space="preserve"> Sett inn </w:t>
      </w:r>
      <w:r w:rsidRPr="00876B9E">
        <w:rPr>
          <w:u w:val="single"/>
        </w:rPr>
        <w:t>adjektiv i entall, ubestemt</w:t>
      </w:r>
      <w:r w:rsidRPr="00E974ED">
        <w:rPr>
          <w:u w:val="single"/>
        </w:rPr>
        <w:t xml:space="preserve"> form</w:t>
      </w:r>
      <w:r w:rsidR="0077453B">
        <w:rPr>
          <w:u w:val="single"/>
        </w:rPr>
        <w:t>, med artikkel</w:t>
      </w:r>
      <w:r>
        <w:t xml:space="preserve">. </w:t>
      </w:r>
      <w:r w:rsidR="00E974ED">
        <w:t xml:space="preserve">Adjektivene </w:t>
      </w:r>
      <w:r w:rsidR="00876B9E" w:rsidRPr="00876B9E">
        <w:t>bør være abstrakte</w:t>
      </w:r>
      <w:r w:rsidR="00876B9E">
        <w:t>.</w:t>
      </w:r>
    </w:p>
    <w:p w:rsidR="003A1001" w:rsidRDefault="003A1001" w:rsidP="00D91783">
      <w:pPr>
        <w:pStyle w:val="Ingenmellomrom"/>
      </w:pPr>
      <w:r w:rsidRPr="003A1001">
        <w:t>Eksemp</w:t>
      </w:r>
      <w:r w:rsidR="00876B9E">
        <w:t>ler</w:t>
      </w:r>
      <w:r>
        <w:t>: «en internasjonal», «en strategisk»</w:t>
      </w:r>
      <w:r w:rsidR="00E974ED">
        <w:t>, «en sømløs</w:t>
      </w:r>
      <w:r w:rsidR="00876B9E">
        <w:t>», «en global», «en kostnadseffektiv».</w:t>
      </w:r>
    </w:p>
    <w:p w:rsidR="00876B9E" w:rsidRDefault="00876B9E" w:rsidP="001C43BF">
      <w:pPr>
        <w:pStyle w:val="Ingenmellomrom"/>
        <w:ind w:left="708"/>
        <w:rPr>
          <w:b/>
        </w:rPr>
      </w:pPr>
    </w:p>
    <w:p w:rsidR="003A1001" w:rsidRDefault="003A1001" w:rsidP="00D91783">
      <w:pPr>
        <w:pStyle w:val="Ingenmellomrom"/>
      </w:pPr>
      <w:r w:rsidRPr="00876B9E">
        <w:rPr>
          <w:b/>
        </w:rPr>
        <w:lastRenderedPageBreak/>
        <w:t>Kolonne C:</w:t>
      </w:r>
      <w:r>
        <w:t xml:space="preserve"> </w:t>
      </w:r>
      <w:r w:rsidRPr="003A1001">
        <w:t xml:space="preserve">Sett inn </w:t>
      </w:r>
      <w:r w:rsidRPr="00876B9E">
        <w:rPr>
          <w:u w:val="single"/>
        </w:rPr>
        <w:t>substantiv i hankjønn entall</w:t>
      </w:r>
      <w:r w:rsidR="00E974ED">
        <w:t xml:space="preserve">, </w:t>
      </w:r>
      <w:r w:rsidR="00E974ED" w:rsidRPr="00E974ED">
        <w:rPr>
          <w:u w:val="single"/>
        </w:rPr>
        <w:t>ubestemt form</w:t>
      </w:r>
      <w:r w:rsidR="0077453B">
        <w:rPr>
          <w:u w:val="single"/>
        </w:rPr>
        <w:t>, uten artikkel</w:t>
      </w:r>
      <w:r>
        <w:t xml:space="preserve">. Substantivene bør være </w:t>
      </w:r>
      <w:r w:rsidRPr="00DD771F">
        <w:rPr>
          <w:u w:val="single"/>
        </w:rPr>
        <w:t>abstrakte</w:t>
      </w:r>
      <w:r>
        <w:t xml:space="preserve">. </w:t>
      </w:r>
      <w:r>
        <w:br/>
        <w:t>Eksemp</w:t>
      </w:r>
      <w:r w:rsidR="00FB107A">
        <w:t>ler</w:t>
      </w:r>
      <w:r>
        <w:t>: «</w:t>
      </w:r>
      <w:r w:rsidR="00876B9E">
        <w:t>innsats</w:t>
      </w:r>
      <w:r>
        <w:t xml:space="preserve">», </w:t>
      </w:r>
      <w:r w:rsidR="001C43BF">
        <w:t>«tidshorisont»</w:t>
      </w:r>
      <w:r w:rsidR="00876B9E">
        <w:t>, «forståelse»</w:t>
      </w:r>
      <w:r w:rsidR="00FB107A">
        <w:t>.</w:t>
      </w:r>
    </w:p>
    <w:p w:rsidR="00876B9E" w:rsidRDefault="00876B9E" w:rsidP="001C43BF">
      <w:pPr>
        <w:pStyle w:val="Ingenmellomrom"/>
        <w:ind w:left="708"/>
        <w:rPr>
          <w:b/>
        </w:rPr>
      </w:pPr>
    </w:p>
    <w:p w:rsidR="003A1001" w:rsidRDefault="003A1001" w:rsidP="00D91783">
      <w:pPr>
        <w:pStyle w:val="Ingenmellomrom"/>
      </w:pPr>
      <w:r w:rsidRPr="00876B9E">
        <w:rPr>
          <w:b/>
        </w:rPr>
        <w:t>Kolonne D:</w:t>
      </w:r>
      <w:r>
        <w:t xml:space="preserve"> </w:t>
      </w:r>
      <w:r w:rsidRPr="003A1001">
        <w:t xml:space="preserve">Sett inn </w:t>
      </w:r>
      <w:r w:rsidRPr="00876B9E">
        <w:rPr>
          <w:u w:val="single"/>
        </w:rPr>
        <w:t>verb i passiv</w:t>
      </w:r>
      <w:r>
        <w:t xml:space="preserve">. </w:t>
      </w:r>
      <w:r w:rsidR="00FB107A">
        <w:t>Verbene bør ikke være for konkrete.</w:t>
      </w:r>
      <w:r>
        <w:br/>
        <w:t>Eksemp</w:t>
      </w:r>
      <w:r w:rsidR="00FB107A">
        <w:t>ler</w:t>
      </w:r>
      <w:r>
        <w:t>: «</w:t>
      </w:r>
      <w:r w:rsidR="00876B9E">
        <w:t>forankres</w:t>
      </w:r>
      <w:r>
        <w:t>», «koordineres»</w:t>
      </w:r>
      <w:r w:rsidR="00876B9E">
        <w:t>, «tilgjengeliggjøres».</w:t>
      </w:r>
    </w:p>
    <w:p w:rsidR="00876B9E" w:rsidRDefault="00876B9E" w:rsidP="001C43BF">
      <w:pPr>
        <w:pStyle w:val="Ingenmellomrom"/>
        <w:ind w:left="708"/>
        <w:rPr>
          <w:b/>
        </w:rPr>
      </w:pPr>
    </w:p>
    <w:p w:rsidR="003A1001" w:rsidRDefault="00A16EF8" w:rsidP="00D91783">
      <w:pPr>
        <w:pStyle w:val="Ingenmellomrom"/>
      </w:pPr>
      <w:r w:rsidRPr="00876B9E">
        <w:rPr>
          <w:b/>
        </w:rPr>
        <w:t>Kolonne</w:t>
      </w:r>
      <w:r w:rsidR="003A1001" w:rsidRPr="00876B9E">
        <w:rPr>
          <w:b/>
        </w:rPr>
        <w:t xml:space="preserve"> E:</w:t>
      </w:r>
      <w:r w:rsidR="003A1001">
        <w:t xml:space="preserve"> </w:t>
      </w:r>
      <w:r w:rsidR="003A1001" w:rsidRPr="003A1001">
        <w:t xml:space="preserve">Sett inn </w:t>
      </w:r>
      <w:r w:rsidR="003A1001" w:rsidRPr="00876B9E">
        <w:rPr>
          <w:u w:val="single"/>
        </w:rPr>
        <w:t xml:space="preserve">substantiv i </w:t>
      </w:r>
      <w:r w:rsidR="003A1001" w:rsidRPr="00876B9E">
        <w:t>bestemt form, entall eller flertall</w:t>
      </w:r>
      <w:r w:rsidR="003A1001">
        <w:t xml:space="preserve">. </w:t>
      </w:r>
      <w:r w:rsidR="003A1001" w:rsidRPr="003A1001">
        <w:t xml:space="preserve">Substantivene bør være </w:t>
      </w:r>
      <w:r w:rsidR="003A1001" w:rsidRPr="00DD771F">
        <w:rPr>
          <w:u w:val="single"/>
        </w:rPr>
        <w:t>abstrakte</w:t>
      </w:r>
      <w:r w:rsidR="003A1001" w:rsidRPr="003A1001">
        <w:t>. Eksemp</w:t>
      </w:r>
      <w:r w:rsidR="00FB107A">
        <w:t>ler</w:t>
      </w:r>
      <w:r w:rsidR="003A1001" w:rsidRPr="003A1001">
        <w:t>:</w:t>
      </w:r>
      <w:r w:rsidR="003A1001">
        <w:t xml:space="preserve"> «tyngdepunktet», «aktiviteten», «</w:t>
      </w:r>
      <w:r w:rsidR="001C43BF">
        <w:t>potensialet</w:t>
      </w:r>
      <w:r w:rsidR="003A1001">
        <w:t>»</w:t>
      </w:r>
      <w:r>
        <w:t>.</w:t>
      </w:r>
    </w:p>
    <w:p w:rsidR="00876B9E" w:rsidRDefault="00876B9E" w:rsidP="001C43BF">
      <w:pPr>
        <w:pStyle w:val="Ingenmellomrom"/>
        <w:ind w:left="708"/>
        <w:rPr>
          <w:b/>
        </w:rPr>
      </w:pPr>
    </w:p>
    <w:p w:rsidR="003A1001" w:rsidRDefault="003A1001" w:rsidP="00D91783">
      <w:pPr>
        <w:pStyle w:val="Ingenmellomrom"/>
      </w:pPr>
      <w:r w:rsidRPr="00876B9E">
        <w:rPr>
          <w:b/>
        </w:rPr>
        <w:t>Kolonne G:</w:t>
      </w:r>
      <w:r>
        <w:t xml:space="preserve"> </w:t>
      </w:r>
      <w:r w:rsidRPr="003A1001">
        <w:t xml:space="preserve">Sett inn </w:t>
      </w:r>
      <w:r w:rsidRPr="00876B9E">
        <w:rPr>
          <w:u w:val="single"/>
        </w:rPr>
        <w:t>enkeltord eller uttrykk</w:t>
      </w:r>
      <w:r>
        <w:t xml:space="preserve">, gjerne abstrakte. </w:t>
      </w:r>
      <w:r>
        <w:br/>
        <w:t>Eksemp</w:t>
      </w:r>
      <w:r w:rsidR="00FB107A">
        <w:t>ler</w:t>
      </w:r>
      <w:r>
        <w:t>: «det grønne skiftet», «</w:t>
      </w:r>
      <w:r w:rsidR="002336A6">
        <w:t>handlingsrommet</w:t>
      </w:r>
      <w:r>
        <w:t>», «</w:t>
      </w:r>
      <w:r w:rsidR="001C43BF">
        <w:t>en samlet vurdering</w:t>
      </w:r>
      <w:r>
        <w:t>»</w:t>
      </w:r>
      <w:r w:rsidR="00E974ED">
        <w:t>, «resultatene»</w:t>
      </w:r>
      <w:r>
        <w:t>.</w:t>
      </w:r>
    </w:p>
    <w:p w:rsidR="00762871" w:rsidRDefault="00762871" w:rsidP="003A1001">
      <w:pPr>
        <w:pStyle w:val="Ingenmellomrom"/>
      </w:pPr>
    </w:p>
    <w:p w:rsidR="00E102BC" w:rsidRPr="00E102BC" w:rsidRDefault="00E102BC" w:rsidP="00E102BC">
      <w:pPr>
        <w:pStyle w:val="Ingenmellomrom"/>
        <w:rPr>
          <w:b/>
        </w:rPr>
      </w:pPr>
    </w:p>
    <w:sectPr w:rsidR="00E102BC" w:rsidRPr="00E102BC" w:rsidSect="00CA01BA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FD2" w:rsidRDefault="00970FD2" w:rsidP="00615BF5">
      <w:pPr>
        <w:spacing w:after="0" w:line="240" w:lineRule="auto"/>
      </w:pPr>
      <w:r>
        <w:separator/>
      </w:r>
    </w:p>
  </w:endnote>
  <w:endnote w:type="continuationSeparator" w:id="0">
    <w:p w:rsidR="00970FD2" w:rsidRDefault="00970FD2" w:rsidP="00615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361281"/>
      <w:docPartObj>
        <w:docPartGallery w:val="Page Numbers (Bottom of Page)"/>
        <w:docPartUnique/>
      </w:docPartObj>
    </w:sdtPr>
    <w:sdtEndPr/>
    <w:sdtContent>
      <w:p w:rsidR="00615BF5" w:rsidRDefault="00615BF5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0646">
          <w:rPr>
            <w:noProof/>
          </w:rPr>
          <w:t>2</w:t>
        </w:r>
        <w:r>
          <w:fldChar w:fldCharType="end"/>
        </w:r>
      </w:p>
    </w:sdtContent>
  </w:sdt>
  <w:p w:rsidR="00615BF5" w:rsidRDefault="00615BF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FD2" w:rsidRDefault="00970FD2" w:rsidP="00615BF5">
      <w:pPr>
        <w:spacing w:after="0" w:line="240" w:lineRule="auto"/>
      </w:pPr>
      <w:r>
        <w:separator/>
      </w:r>
    </w:p>
  </w:footnote>
  <w:footnote w:type="continuationSeparator" w:id="0">
    <w:p w:rsidR="00970FD2" w:rsidRDefault="00970FD2" w:rsidP="00615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BF5" w:rsidRDefault="00896C26">
    <w:pPr>
      <w:pStyle w:val="Topptekst"/>
    </w:pPr>
    <w:r>
      <w:rPr>
        <w:b/>
        <w:noProof/>
        <w:lang w:eastAsia="nb-NO"/>
      </w:rPr>
      <w:drawing>
        <wp:anchor distT="0" distB="0" distL="114300" distR="114300" simplePos="0" relativeHeight="251659264" behindDoc="1" locked="0" layoutInCell="1" allowOverlap="1" wp14:anchorId="38B2D017" wp14:editId="3EE5DF6B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052727" cy="214630"/>
          <wp:effectExtent l="0" t="0" r="0" b="0"/>
          <wp:wrapNone/>
          <wp:docPr id="1" name="Bilde 1" descr="SR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1" descr="SR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142" cy="2204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5BF5" w:rsidRDefault="00615BF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001"/>
    <w:rsid w:val="00057DA3"/>
    <w:rsid w:val="000B0646"/>
    <w:rsid w:val="000B1BA6"/>
    <w:rsid w:val="000D0E26"/>
    <w:rsid w:val="00114BB7"/>
    <w:rsid w:val="001742C2"/>
    <w:rsid w:val="001844BF"/>
    <w:rsid w:val="00190257"/>
    <w:rsid w:val="001C43BF"/>
    <w:rsid w:val="002336A6"/>
    <w:rsid w:val="003A1001"/>
    <w:rsid w:val="003D3527"/>
    <w:rsid w:val="00565222"/>
    <w:rsid w:val="00601DB2"/>
    <w:rsid w:val="00615BF5"/>
    <w:rsid w:val="00713179"/>
    <w:rsid w:val="0072172F"/>
    <w:rsid w:val="00762871"/>
    <w:rsid w:val="0077453B"/>
    <w:rsid w:val="008728D3"/>
    <w:rsid w:val="00876B9E"/>
    <w:rsid w:val="00896C26"/>
    <w:rsid w:val="008A366A"/>
    <w:rsid w:val="008E1670"/>
    <w:rsid w:val="009332F8"/>
    <w:rsid w:val="00970FD2"/>
    <w:rsid w:val="00A16EF8"/>
    <w:rsid w:val="00B6450D"/>
    <w:rsid w:val="00CA01BA"/>
    <w:rsid w:val="00CE2AEB"/>
    <w:rsid w:val="00D91783"/>
    <w:rsid w:val="00DD771F"/>
    <w:rsid w:val="00E102BC"/>
    <w:rsid w:val="00E72977"/>
    <w:rsid w:val="00E974ED"/>
    <w:rsid w:val="00EC70D7"/>
    <w:rsid w:val="00EF3172"/>
    <w:rsid w:val="00F24CFB"/>
    <w:rsid w:val="00FA29B2"/>
    <w:rsid w:val="00FB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84818F5-76A3-43F6-8C52-4CE49F68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3A1001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B64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77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53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61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15BF5"/>
  </w:style>
  <w:style w:type="paragraph" w:styleId="Bunntekst">
    <w:name w:val="footer"/>
    <w:basedOn w:val="Normal"/>
    <w:link w:val="BunntekstTegn"/>
    <w:uiPriority w:val="99"/>
    <w:unhideWhenUsed/>
    <w:rsid w:val="00615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15BF5"/>
  </w:style>
  <w:style w:type="character" w:styleId="Hyperkobling">
    <w:name w:val="Hyperlink"/>
    <w:basedOn w:val="Standardskriftforavsnitt"/>
    <w:uiPriority w:val="99"/>
    <w:unhideWhenUsed/>
    <w:rsid w:val="009332F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vadagenerator.no/?type=Klimasvad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988B-67D9-4489-B80B-E630A8237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518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Anna Senje</dc:creator>
  <cp:keywords/>
  <dc:description/>
  <cp:lastModifiedBy>Sigrid Sørumgård Botheim</cp:lastModifiedBy>
  <cp:revision>2</cp:revision>
  <cp:lastPrinted>2016-03-09T09:04:00Z</cp:lastPrinted>
  <dcterms:created xsi:type="dcterms:W3CDTF">2020-09-30T08:41:00Z</dcterms:created>
  <dcterms:modified xsi:type="dcterms:W3CDTF">2020-09-30T08:41:00Z</dcterms:modified>
</cp:coreProperties>
</file>